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6" w:rsidRPr="000B5A3F" w:rsidRDefault="00157C04" w:rsidP="0073617B">
      <w:pPr>
        <w:ind w:left="56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bookmarkStart w:id="0" w:name="_GoBack"/>
      <w:bookmarkEnd w:id="0"/>
    </w:p>
    <w:p w:rsidR="00357626" w:rsidRDefault="00357626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357626" w:rsidRPr="000B5A3F" w:rsidRDefault="00357626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357626" w:rsidRDefault="00357626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357626" w:rsidRDefault="00357626" w:rsidP="00427A81">
      <w:pPr>
        <w:ind w:left="56"/>
        <w:jc w:val="both"/>
      </w:pPr>
      <w:r>
        <w:t xml:space="preserve">NIP 798-14-88-446 reprezentowanym przez: </w:t>
      </w:r>
    </w:p>
    <w:p w:rsidR="00357626" w:rsidRPr="001F16A0" w:rsidRDefault="00357626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357626" w:rsidRPr="000B5A3F" w:rsidRDefault="00357626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357626" w:rsidRPr="0073617B" w:rsidRDefault="00357626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357626" w:rsidRPr="000B5A3F" w:rsidRDefault="00357626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1" w:name="_Hlk113952879"/>
      <w:r w:rsidRPr="000B5A3F">
        <w:rPr>
          <w:color w:val="auto"/>
        </w:rPr>
        <w:t>nieprzekraczającej 130 000,00 zł</w:t>
      </w:r>
      <w:bookmarkEnd w:id="1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357626" w:rsidRPr="00427A81" w:rsidRDefault="00357626" w:rsidP="00427A81">
      <w:pPr>
        <w:jc w:val="both"/>
      </w:pPr>
    </w:p>
    <w:p w:rsidR="00357626" w:rsidRPr="00427A81" w:rsidRDefault="00357626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357626" w:rsidRDefault="00357626" w:rsidP="00427A81">
      <w:pPr>
        <w:pStyle w:val="Akapitzlist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357626" w:rsidRDefault="00357626" w:rsidP="00427A81">
      <w:pPr>
        <w:pStyle w:val="Akapitzlist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357626" w:rsidRPr="00D124F1" w:rsidRDefault="00357626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>Umowa dotyczy</w:t>
      </w:r>
      <w:r>
        <w:rPr>
          <w:b/>
          <w:bCs/>
        </w:rPr>
        <w:t xml:space="preserve"> artykułów: nabiał i produkty mleczne</w:t>
      </w:r>
    </w:p>
    <w:p w:rsidR="00357626" w:rsidRDefault="00357626" w:rsidP="00E24FE7">
      <w:pPr>
        <w:pStyle w:val="Akapitzlist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357626" w:rsidRDefault="00357626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357626" w:rsidRDefault="00357626" w:rsidP="00D124F1">
      <w:pPr>
        <w:jc w:val="both"/>
        <w:rPr>
          <w:b/>
          <w:bCs/>
        </w:rPr>
      </w:pPr>
    </w:p>
    <w:p w:rsidR="00357626" w:rsidRPr="00D124F1" w:rsidRDefault="00357626" w:rsidP="00D124F1">
      <w:pPr>
        <w:jc w:val="both"/>
        <w:rPr>
          <w:b/>
          <w:bCs/>
        </w:rPr>
      </w:pPr>
    </w:p>
    <w:p w:rsidR="00357626" w:rsidRDefault="00357626" w:rsidP="00E24FE7">
      <w:pPr>
        <w:pStyle w:val="Akapitzlist"/>
        <w:numPr>
          <w:ilvl w:val="0"/>
          <w:numId w:val="14"/>
        </w:numPr>
        <w:ind w:left="284"/>
        <w:jc w:val="both"/>
      </w:pPr>
      <w:r>
        <w:lastRenderedPageBreak/>
        <w:t xml:space="preserve">Skorzystanie z prawa opcji może nastąpić przez cały okres trwania Umowy. </w:t>
      </w:r>
    </w:p>
    <w:p w:rsidR="00357626" w:rsidRDefault="00357626" w:rsidP="00E24FE7">
      <w:pPr>
        <w:pStyle w:val="Akapitzlist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357626" w:rsidRDefault="00357626" w:rsidP="00427A81">
      <w:pPr>
        <w:jc w:val="both"/>
      </w:pPr>
      <w:r>
        <w:t xml:space="preserve"> </w:t>
      </w:r>
    </w:p>
    <w:p w:rsidR="00357626" w:rsidRPr="00E24FE7" w:rsidRDefault="00357626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357626" w:rsidRDefault="00357626" w:rsidP="00E24FE7">
      <w:pPr>
        <w:pStyle w:val="Akapitzlist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lastRenderedPageBreak/>
        <w:t>Wykonawca będzie dostarczał asortyment własnym bądź obcym transportem, na swój koszt zgodnie z wymogami sanitarnymi i HACCP, w sposób zapobiegający utracie walorów smakowych i odżywczych.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357626" w:rsidRDefault="00357626" w:rsidP="00E24FE7">
      <w:pPr>
        <w:pStyle w:val="Akapitzlist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</w:t>
      </w:r>
      <w:r>
        <w:lastRenderedPageBreak/>
        <w:t xml:space="preserve">go niezwłocznie o stwierdzonych brakach lub wadach telefonicznie lub pisemnie e-mail, oraz potwierdzi to przesłaniem protokołu reklamacyjnego. 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357626" w:rsidRDefault="00357626" w:rsidP="00872D2F">
      <w:pPr>
        <w:pStyle w:val="Akapitzlist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357626" w:rsidRPr="00872D2F" w:rsidRDefault="00357626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357626" w:rsidRDefault="00357626" w:rsidP="00872D2F">
      <w:pPr>
        <w:pStyle w:val="Akapitzlist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357626" w:rsidRDefault="00357626" w:rsidP="00872D2F">
      <w:pPr>
        <w:pStyle w:val="Akapitzlist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357626" w:rsidRDefault="00357626" w:rsidP="00427A81">
      <w:pPr>
        <w:jc w:val="both"/>
      </w:pPr>
      <w:r>
        <w:t xml:space="preserve"> </w:t>
      </w:r>
    </w:p>
    <w:p w:rsidR="00357626" w:rsidRPr="00872D2F" w:rsidRDefault="00357626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357626" w:rsidRDefault="00357626" w:rsidP="00872D2F">
      <w:pPr>
        <w:pStyle w:val="Akapitzlist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357626" w:rsidRDefault="00357626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357626" w:rsidRDefault="00357626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357626" w:rsidRDefault="00357626" w:rsidP="00872D2F">
      <w:pPr>
        <w:pStyle w:val="Akapitzlist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357626" w:rsidRDefault="00357626" w:rsidP="00F80E50">
      <w:pPr>
        <w:pStyle w:val="Akapitzlist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357626" w:rsidRPr="00B24356" w:rsidRDefault="00357626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357626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357626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357626" w:rsidRPr="00BA14B7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lastRenderedPageBreak/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357626" w:rsidRDefault="00357626" w:rsidP="00BA14B7">
      <w:pPr>
        <w:pStyle w:val="Akapitzlist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357626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357626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357626" w:rsidRDefault="00357626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357626" w:rsidRDefault="00357626" w:rsidP="00B24356">
      <w:pPr>
        <w:ind w:left="1276"/>
      </w:pPr>
      <w:r>
        <w:t>NABYWCA:</w:t>
      </w:r>
    </w:p>
    <w:p w:rsidR="00357626" w:rsidRDefault="00357626" w:rsidP="00B24356">
      <w:pPr>
        <w:ind w:left="1276"/>
      </w:pPr>
      <w:r>
        <w:t>Gmina Stara Błotnica, Stara Błotnica 46, NIP 798-14-58-221</w:t>
      </w:r>
    </w:p>
    <w:p w:rsidR="00357626" w:rsidRDefault="00357626" w:rsidP="00B24356">
      <w:pPr>
        <w:ind w:left="1276"/>
      </w:pPr>
      <w:r>
        <w:t>ODBIORCA:</w:t>
      </w:r>
    </w:p>
    <w:p w:rsidR="00357626" w:rsidRDefault="00357626" w:rsidP="00B24356">
      <w:pPr>
        <w:ind w:left="1276"/>
      </w:pPr>
      <w:r>
        <w:t>Publiczny Żłobek w Starej Błotnicy, Stara Błotnica 1, 26-806 Stara Błotnica.</w:t>
      </w:r>
    </w:p>
    <w:p w:rsidR="00357626" w:rsidRDefault="00357626" w:rsidP="0076699E">
      <w:pPr>
        <w:pStyle w:val="Akapitzlist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357626" w:rsidRDefault="00357626" w:rsidP="0076699E">
      <w:pPr>
        <w:pStyle w:val="Akapitzlist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357626" w:rsidRDefault="00357626" w:rsidP="0076699E">
      <w:pPr>
        <w:pStyle w:val="Akapitzlist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357626" w:rsidRDefault="00357626" w:rsidP="0076699E">
      <w:pPr>
        <w:pStyle w:val="Akapitzlist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357626" w:rsidRDefault="00357626" w:rsidP="0076699E">
      <w:pPr>
        <w:pStyle w:val="Akapitzlist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357626" w:rsidRPr="0076699E" w:rsidRDefault="00357626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357626" w:rsidRDefault="00357626" w:rsidP="0076699E">
      <w:pPr>
        <w:pStyle w:val="Akapitzlist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357626" w:rsidRDefault="00357626" w:rsidP="0076699E">
      <w:pPr>
        <w:pStyle w:val="Akapitzlist"/>
        <w:numPr>
          <w:ilvl w:val="0"/>
          <w:numId w:val="21"/>
        </w:numPr>
        <w:jc w:val="both"/>
      </w:pPr>
      <w:r>
        <w:t>ze strony Zamawiającego – Duda Małgorzata</w:t>
      </w:r>
    </w:p>
    <w:p w:rsidR="00357626" w:rsidRDefault="00357626" w:rsidP="0076699E">
      <w:pPr>
        <w:pStyle w:val="Akapitzlist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357626" w:rsidRDefault="00357626" w:rsidP="0076699E">
      <w:pPr>
        <w:pStyle w:val="Akapitzlist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357626" w:rsidRDefault="00357626" w:rsidP="00C63BC2">
      <w:pPr>
        <w:jc w:val="center"/>
        <w:rPr>
          <w:b/>
          <w:bCs/>
        </w:rPr>
      </w:pPr>
    </w:p>
    <w:p w:rsidR="00357626" w:rsidRPr="00C63BC2" w:rsidRDefault="00357626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357626" w:rsidRDefault="00357626" w:rsidP="0004437B">
      <w:pPr>
        <w:pStyle w:val="Akapitzlist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357626" w:rsidRDefault="00357626" w:rsidP="0004437B">
      <w:pPr>
        <w:pStyle w:val="Akapitzlist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357626" w:rsidRDefault="00357626" w:rsidP="0004437B">
      <w:pPr>
        <w:pStyle w:val="Akapitzlist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357626" w:rsidRDefault="00357626" w:rsidP="00427A81">
      <w:pPr>
        <w:jc w:val="both"/>
      </w:pPr>
      <w:r>
        <w:t xml:space="preserve"> </w:t>
      </w:r>
    </w:p>
    <w:p w:rsidR="00357626" w:rsidRPr="0004437B" w:rsidRDefault="00357626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357626" w:rsidRDefault="00357626" w:rsidP="0004437B">
      <w:pPr>
        <w:pStyle w:val="Akapitzlist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Wykonawca przynajmniej raz nie zrealizuje dostawy;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357626" w:rsidRDefault="00357626" w:rsidP="00575332">
      <w:pPr>
        <w:pStyle w:val="Akapitzlist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357626" w:rsidRDefault="00357626" w:rsidP="0004437B">
      <w:pPr>
        <w:pStyle w:val="Akapitzlist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357626" w:rsidRDefault="00357626" w:rsidP="00575332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357626" w:rsidRDefault="00357626" w:rsidP="00575332">
      <w:pPr>
        <w:pStyle w:val="Akapitzlist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357626" w:rsidRPr="0004437B" w:rsidRDefault="00357626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357626" w:rsidRDefault="00357626" w:rsidP="00C6373A">
      <w:pPr>
        <w:pStyle w:val="Akapitzlist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357626" w:rsidRDefault="00357626" w:rsidP="0010781B">
      <w:pPr>
        <w:pStyle w:val="Akapitzlist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357626" w:rsidRDefault="00357626" w:rsidP="0010781B">
      <w:pPr>
        <w:pStyle w:val="Akapitzlist"/>
        <w:numPr>
          <w:ilvl w:val="0"/>
          <w:numId w:val="28"/>
        </w:numPr>
        <w:jc w:val="both"/>
      </w:pPr>
      <w:r>
        <w:t>Zmiany terminu realizacji zamówienia w przypadku:</w:t>
      </w:r>
    </w:p>
    <w:p w:rsidR="00357626" w:rsidRDefault="00357626" w:rsidP="00427A81">
      <w:pPr>
        <w:pStyle w:val="Akapitzlist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357626" w:rsidRDefault="00357626" w:rsidP="0010781B">
      <w:pPr>
        <w:pStyle w:val="Akapitzlist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357626" w:rsidRDefault="00357626" w:rsidP="0010781B">
      <w:pPr>
        <w:pStyle w:val="Akapitzlist"/>
        <w:numPr>
          <w:ilvl w:val="0"/>
          <w:numId w:val="28"/>
        </w:numPr>
        <w:jc w:val="both"/>
      </w:pPr>
      <w:r>
        <w:t>Pozostałe zmiany:</w:t>
      </w:r>
    </w:p>
    <w:p w:rsidR="00357626" w:rsidRDefault="00357626" w:rsidP="0010781B">
      <w:pPr>
        <w:pStyle w:val="Akapitzlist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357626" w:rsidRDefault="00357626" w:rsidP="0010781B">
      <w:pPr>
        <w:pStyle w:val="Akapitzlist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357626" w:rsidRDefault="00357626" w:rsidP="0010781B">
      <w:pPr>
        <w:pStyle w:val="Akapitzlist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357626" w:rsidRDefault="00357626" w:rsidP="00BD50F2">
      <w:pPr>
        <w:pStyle w:val="Akapitzlist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357626" w:rsidRPr="006338BA" w:rsidRDefault="00357626" w:rsidP="006338BA">
      <w:pPr>
        <w:jc w:val="center"/>
        <w:rPr>
          <w:b/>
          <w:bCs/>
        </w:rPr>
      </w:pPr>
      <w:r w:rsidRPr="006338BA">
        <w:rPr>
          <w:b/>
          <w:bCs/>
        </w:rPr>
        <w:lastRenderedPageBreak/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357626" w:rsidRPr="007C1F88" w:rsidRDefault="00357626" w:rsidP="006338BA">
      <w:pPr>
        <w:pStyle w:val="Akapitzlist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357626" w:rsidRDefault="00357626" w:rsidP="006338BA">
      <w:pPr>
        <w:pStyle w:val="Akapitzlist"/>
        <w:numPr>
          <w:ilvl w:val="0"/>
          <w:numId w:val="31"/>
        </w:numPr>
        <w:jc w:val="both"/>
      </w:pPr>
      <w:r>
        <w:t>Załączniki do umowy:</w:t>
      </w:r>
    </w:p>
    <w:p w:rsidR="00357626" w:rsidRDefault="00357626" w:rsidP="006338BA">
      <w:pPr>
        <w:pStyle w:val="Akapitzlist"/>
        <w:numPr>
          <w:ilvl w:val="0"/>
          <w:numId w:val="32"/>
        </w:numPr>
        <w:jc w:val="both"/>
      </w:pPr>
      <w:r>
        <w:t>Zapytanie ofertowe,</w:t>
      </w:r>
    </w:p>
    <w:p w:rsidR="00357626" w:rsidRDefault="00357626" w:rsidP="006338BA">
      <w:pPr>
        <w:pStyle w:val="Akapitzlist"/>
        <w:numPr>
          <w:ilvl w:val="0"/>
          <w:numId w:val="32"/>
        </w:numPr>
        <w:jc w:val="both"/>
      </w:pPr>
      <w:r>
        <w:t>Oferta wykonawcy,</w:t>
      </w:r>
    </w:p>
    <w:p w:rsidR="00357626" w:rsidRDefault="00357626" w:rsidP="00427A81">
      <w:pPr>
        <w:pStyle w:val="Akapitzlist"/>
        <w:numPr>
          <w:ilvl w:val="0"/>
          <w:numId w:val="32"/>
        </w:numPr>
        <w:jc w:val="both"/>
      </w:pPr>
      <w:r>
        <w:t>……………………..</w:t>
      </w:r>
    </w:p>
    <w:p w:rsidR="00357626" w:rsidRDefault="00357626" w:rsidP="006338BA">
      <w:pPr>
        <w:jc w:val="both"/>
      </w:pPr>
    </w:p>
    <w:p w:rsidR="00357626" w:rsidRDefault="00357626" w:rsidP="006338BA">
      <w:pPr>
        <w:jc w:val="both"/>
      </w:pPr>
      <w:r>
        <w:t>Podpisy</w:t>
      </w:r>
    </w:p>
    <w:p w:rsidR="00357626" w:rsidRDefault="00357626" w:rsidP="006338BA">
      <w:pPr>
        <w:pStyle w:val="Akapitzlist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57626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66" w:rsidRDefault="004D0766" w:rsidP="00404871">
      <w:pPr>
        <w:spacing w:line="240" w:lineRule="auto"/>
      </w:pPr>
      <w:r>
        <w:separator/>
      </w:r>
    </w:p>
  </w:endnote>
  <w:endnote w:type="continuationSeparator" w:id="0">
    <w:p w:rsidR="004D0766" w:rsidRDefault="004D0766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26" w:rsidRDefault="00357626" w:rsidP="0040487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57C0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57C04">
      <w:rPr>
        <w:b/>
        <w:bCs/>
        <w:noProof/>
      </w:rPr>
      <w:t>8</w:t>
    </w:r>
    <w:r>
      <w:rPr>
        <w:b/>
        <w:bCs/>
      </w:rPr>
      <w:fldChar w:fldCharType="end"/>
    </w:r>
  </w:p>
  <w:p w:rsidR="00357626" w:rsidRDefault="003576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66" w:rsidRDefault="004D0766" w:rsidP="00404871">
      <w:pPr>
        <w:spacing w:line="240" w:lineRule="auto"/>
      </w:pPr>
      <w:r>
        <w:separator/>
      </w:r>
    </w:p>
  </w:footnote>
  <w:footnote w:type="continuationSeparator" w:id="0">
    <w:p w:rsidR="004D0766" w:rsidRDefault="004D0766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26" w:rsidRDefault="003576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 w15:restartNumberingAfterBreak="0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 w15:restartNumberingAfterBreak="0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 w15:restartNumberingAfterBreak="0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57C04"/>
    <w:rsid w:val="00165F9B"/>
    <w:rsid w:val="001D23BF"/>
    <w:rsid w:val="001F16A0"/>
    <w:rsid w:val="00232D34"/>
    <w:rsid w:val="0030290A"/>
    <w:rsid w:val="00323C03"/>
    <w:rsid w:val="00324A08"/>
    <w:rsid w:val="00357626"/>
    <w:rsid w:val="003C65DA"/>
    <w:rsid w:val="003D7B6C"/>
    <w:rsid w:val="00404871"/>
    <w:rsid w:val="00427A81"/>
    <w:rsid w:val="004D0766"/>
    <w:rsid w:val="004D1F3F"/>
    <w:rsid w:val="00557428"/>
    <w:rsid w:val="00575332"/>
    <w:rsid w:val="00587208"/>
    <w:rsid w:val="005B43CF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8790B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9E4685"/>
    <w:rsid w:val="00A06018"/>
    <w:rsid w:val="00A33488"/>
    <w:rsid w:val="00A53F64"/>
    <w:rsid w:val="00A61845"/>
    <w:rsid w:val="00B24356"/>
    <w:rsid w:val="00B37D5F"/>
    <w:rsid w:val="00B63809"/>
    <w:rsid w:val="00BA14B7"/>
    <w:rsid w:val="00BB0A43"/>
    <w:rsid w:val="00BC2435"/>
    <w:rsid w:val="00BC3E04"/>
    <w:rsid w:val="00BD50F2"/>
    <w:rsid w:val="00BE0C37"/>
    <w:rsid w:val="00BE21CA"/>
    <w:rsid w:val="00C10C95"/>
    <w:rsid w:val="00C427C8"/>
    <w:rsid w:val="00C55ABE"/>
    <w:rsid w:val="00C6373A"/>
    <w:rsid w:val="00C63BC2"/>
    <w:rsid w:val="00C63F2F"/>
    <w:rsid w:val="00C8477C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D14FA8-5BB0-4BEA-A121-8D3F549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55ABE"/>
    <w:pPr>
      <w:ind w:left="720"/>
    </w:pPr>
  </w:style>
  <w:style w:type="paragraph" w:styleId="Nagwek">
    <w:name w:val="header"/>
    <w:basedOn w:val="Normalny"/>
    <w:link w:val="Nagwek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14727</Characters>
  <Application>Microsoft Office Word</Application>
  <DocSecurity>0</DocSecurity>
  <Lines>122</Lines>
  <Paragraphs>34</Paragraphs>
  <ScaleCrop>false</ScaleCrop>
  <Company>HP</Company>
  <LinksUpToDate>false</LinksUpToDate>
  <CharactersWithSpaces>17147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Urzednik</cp:lastModifiedBy>
  <cp:revision>4</cp:revision>
  <cp:lastPrinted>2025-10-14T09:50:00Z</cp:lastPrinted>
  <dcterms:created xsi:type="dcterms:W3CDTF">2025-12-02T23:34:00Z</dcterms:created>
  <dcterms:modified xsi:type="dcterms:W3CDTF">2025-12-05T08:06:00Z</dcterms:modified>
</cp:coreProperties>
</file>